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D5" w:rsidRPr="009114D5" w:rsidRDefault="009114D5" w:rsidP="009114D5">
      <w:pPr>
        <w:widowControl w:val="0"/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9114D5">
        <w:rPr>
          <w:rFonts w:ascii="Times New Roman" w:hAnsi="Times New Roman"/>
          <w:b/>
          <w:sz w:val="28"/>
          <w:szCs w:val="28"/>
          <w:lang w:val="uk-UA"/>
        </w:rPr>
        <w:t xml:space="preserve">O. M. </w:t>
      </w:r>
      <w:proofErr w:type="spellStart"/>
      <w:r w:rsidRPr="009114D5">
        <w:rPr>
          <w:rFonts w:ascii="Times New Roman" w:hAnsi="Times New Roman"/>
          <w:b/>
          <w:sz w:val="28"/>
          <w:szCs w:val="28"/>
          <w:lang w:val="uk-UA"/>
        </w:rPr>
        <w:t>Spirin</w:t>
      </w:r>
      <w:proofErr w:type="spellEnd"/>
    </w:p>
    <w:p w:rsidR="009114D5" w:rsidRPr="009114D5" w:rsidRDefault="009114D5" w:rsidP="009114D5">
      <w:pPr>
        <w:widowControl w:val="0"/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4D5">
        <w:rPr>
          <w:rFonts w:ascii="Times New Roman" w:hAnsi="Times New Roman"/>
          <w:b/>
          <w:sz w:val="28"/>
          <w:szCs w:val="28"/>
          <w:lang w:val="uk-UA"/>
        </w:rPr>
        <w:t xml:space="preserve">T. A. </w:t>
      </w:r>
      <w:proofErr w:type="spellStart"/>
      <w:r w:rsidRPr="009114D5">
        <w:rPr>
          <w:rFonts w:ascii="Times New Roman" w:hAnsi="Times New Roman"/>
          <w:b/>
          <w:sz w:val="28"/>
          <w:szCs w:val="28"/>
          <w:lang w:val="uk-UA"/>
        </w:rPr>
        <w:t>Vakalyuk</w:t>
      </w:r>
      <w:proofErr w:type="spellEnd"/>
    </w:p>
    <w:p w:rsidR="009114D5" w:rsidRPr="009114D5" w:rsidRDefault="009114D5" w:rsidP="009114D5">
      <w:pPr>
        <w:widowControl w:val="0"/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14D5">
        <w:rPr>
          <w:rFonts w:ascii="Times New Roman" w:hAnsi="Times New Roman"/>
          <w:b/>
          <w:sz w:val="28"/>
          <w:szCs w:val="28"/>
          <w:lang w:val="uk-UA"/>
        </w:rPr>
        <w:t>HMAAR-PROVIDED INTELLECTUAL CARD AS A FORM OF INFORMATIONAL AND ANALYTICAL SUPPORT FOR PROFESSIONAL ACTIVITY OF THE TEACHER</w:t>
      </w:r>
    </w:p>
    <w:p w:rsidR="009114D5" w:rsidRPr="009114D5" w:rsidRDefault="009114D5" w:rsidP="009114D5">
      <w:pPr>
        <w:widowControl w:val="0"/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article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deals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intellectual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map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According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scientists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Tony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Bari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Bussin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definition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concept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given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argue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that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intellectual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map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"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graphic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expression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process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radiant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thinking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therefore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natural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product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human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brain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activity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."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same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under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spatial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thinking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"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refers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such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associative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mental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processes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starting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point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which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central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object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>.</w:t>
      </w:r>
    </w:p>
    <w:p w:rsidR="009114D5" w:rsidRPr="009114D5" w:rsidRDefault="009114D5" w:rsidP="009114D5">
      <w:pPr>
        <w:widowControl w:val="0"/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essential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features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intellectual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maps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presented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object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presented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center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attention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basic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ideas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tasks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concepts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associated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central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object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diverge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from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denoted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smooth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lines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explained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keywords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images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leaving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called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secondary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etc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.;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All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branches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form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interconnected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nodal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system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>.</w:t>
      </w:r>
    </w:p>
    <w:p w:rsidR="009114D5" w:rsidRPr="009114D5" w:rsidRDefault="009114D5" w:rsidP="009114D5">
      <w:pPr>
        <w:widowControl w:val="0"/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Characterized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various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cloud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services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building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smart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cards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Bubbl.us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Mindomo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Mindmeister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advantages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common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excellent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data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services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presented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examples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discuss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possibilities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cloud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services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constructing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intellectual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maps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higher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education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both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teaching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particular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during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lectures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laboratory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works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independent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material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creation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joint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dissertation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thesis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publication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>.</w:t>
      </w:r>
    </w:p>
    <w:p w:rsidR="009114D5" w:rsidRPr="009114D5" w:rsidRDefault="009114D5" w:rsidP="009114D5">
      <w:pPr>
        <w:widowControl w:val="0"/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Much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attention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paid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both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graduate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following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examples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use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intellectual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maps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teacher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higher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educational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institutions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are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considered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when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writing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publication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When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drawing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up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plan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work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his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own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dissertation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dissertation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his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postgraduate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student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Similarly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when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lastRenderedPageBreak/>
        <w:t>working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with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graduation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papers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When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tips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postgraduate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When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creating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joint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research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building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intelligent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maps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joint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facilitates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division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responsibilities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among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all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participants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defining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structure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tasks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stages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implementation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Stimulates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generate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their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own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ideas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analyze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them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agree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joint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decision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example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Victor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Pinchuk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Foundation's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Tomorrow.UA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Round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3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contest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students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need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implement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joint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a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limited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time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submit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jury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members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To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make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presented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high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possible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reflect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ideas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all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project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participants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is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worth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using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cloud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services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building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mental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sz w:val="28"/>
          <w:szCs w:val="28"/>
          <w:lang w:val="uk-UA"/>
        </w:rPr>
        <w:t>maps</w:t>
      </w:r>
      <w:proofErr w:type="spellEnd"/>
      <w:r w:rsidRPr="009114D5">
        <w:rPr>
          <w:rFonts w:ascii="Times New Roman" w:hAnsi="Times New Roman"/>
          <w:sz w:val="28"/>
          <w:szCs w:val="28"/>
          <w:lang w:val="uk-UA"/>
        </w:rPr>
        <w:t>.</w:t>
      </w:r>
    </w:p>
    <w:p w:rsidR="009114D5" w:rsidRPr="009114D5" w:rsidRDefault="009114D5" w:rsidP="009114D5">
      <w:pPr>
        <w:tabs>
          <w:tab w:val="left" w:pos="426"/>
          <w:tab w:val="left" w:pos="570"/>
          <w:tab w:val="left" w:pos="969"/>
          <w:tab w:val="left" w:pos="1560"/>
          <w:tab w:val="left" w:pos="1701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114D5" w:rsidRPr="009114D5" w:rsidRDefault="009114D5" w:rsidP="009114D5">
      <w:pPr>
        <w:pStyle w:val="a4"/>
        <w:widowControl w:val="0"/>
        <w:tabs>
          <w:tab w:val="left" w:pos="567"/>
        </w:tabs>
        <w:spacing w:line="360" w:lineRule="auto"/>
        <w:ind w:left="0" w:firstLine="709"/>
        <w:jc w:val="center"/>
        <w:rPr>
          <w:rFonts w:ascii="Times New Roman" w:hAnsi="Times New Roman"/>
          <w:bCs/>
          <w:sz w:val="28"/>
          <w:szCs w:val="28"/>
          <w:lang w:val="en-US"/>
        </w:rPr>
      </w:pPr>
      <w:proofErr w:type="spellStart"/>
      <w:r w:rsidRPr="009114D5">
        <w:rPr>
          <w:rStyle w:val="rvts24"/>
          <w:rFonts w:ascii="Times New Roman" w:hAnsi="Times New Roman"/>
          <w:b/>
          <w:bCs/>
          <w:color w:val="000000"/>
          <w:sz w:val="28"/>
          <w:szCs w:val="28"/>
          <w:lang w:val="uk-UA"/>
        </w:rPr>
        <w:t>References</w:t>
      </w:r>
      <w:proofErr w:type="spellEnd"/>
    </w:p>
    <w:p w:rsidR="009114D5" w:rsidRPr="009114D5" w:rsidRDefault="009114D5" w:rsidP="009114D5">
      <w:pPr>
        <w:pStyle w:val="a4"/>
        <w:widowControl w:val="0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14D5">
        <w:rPr>
          <w:rFonts w:ascii="Times New Roman" w:hAnsi="Times New Roman"/>
          <w:bCs/>
          <w:sz w:val="28"/>
          <w:szCs w:val="28"/>
          <w:lang w:val="uk-UA"/>
        </w:rPr>
        <w:t>1.</w:t>
      </w:r>
      <w:r w:rsidRPr="009114D5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Vykorystannya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intelektual'nykh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kart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u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planuvanni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orhanizatsiyi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osvitn'oho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protsesu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Informatsiyno-metodychnyy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visnyk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/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ukladach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Klachko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L. M. –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Terebovlya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2015. – 16 s. </w:t>
      </w:r>
    </w:p>
    <w:p w:rsidR="009114D5" w:rsidRPr="009114D5" w:rsidRDefault="009114D5" w:rsidP="009114D5">
      <w:pPr>
        <w:pStyle w:val="a4"/>
        <w:widowControl w:val="0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14D5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9114D5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B'yuzen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T. y B.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Supermыshlenye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/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Per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s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anhl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E. A.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Samsonov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– 2-e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yzd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–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Mn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.: OOO "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Popurry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", 2003. – 304 s. </w:t>
      </w:r>
    </w:p>
    <w:p w:rsidR="009114D5" w:rsidRPr="009114D5" w:rsidRDefault="009114D5" w:rsidP="009114D5">
      <w:pPr>
        <w:pStyle w:val="a4"/>
        <w:widowControl w:val="0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14D5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9114D5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Vakalyuk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T. A.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Vykorystannya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intelektual'nykh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kart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u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pidhotovtsi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bakalavriv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informatyky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/ T. A.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Vakalyuk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//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Teoriya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i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praktyka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vykorystannya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informatsiynykh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tekhnolohiy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v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navchal'nomu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protsesi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materialy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Vseukrayins'koyi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naukovo-praktychnoyi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konferentsiyi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30-31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travnya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2017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roku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m.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Kyyiv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Ukladach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Tverdokhlib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I.A. –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Kyyiv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: Vyd-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NPU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imeni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M.P.Drahomanova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, 2017. – 168 s. – S. 54-55.</w:t>
      </w:r>
    </w:p>
    <w:p w:rsidR="009114D5" w:rsidRPr="009114D5" w:rsidRDefault="009114D5" w:rsidP="009114D5">
      <w:pPr>
        <w:pStyle w:val="a4"/>
        <w:widowControl w:val="0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114D5">
        <w:rPr>
          <w:rFonts w:ascii="Times New Roman" w:hAnsi="Times New Roman"/>
          <w:bCs/>
          <w:sz w:val="28"/>
          <w:szCs w:val="28"/>
          <w:lang w:val="uk-UA"/>
        </w:rPr>
        <w:t>4.</w:t>
      </w:r>
      <w:r w:rsidRPr="009114D5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Spirin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O.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Vykorystannya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elektronnykh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system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vidkrytoho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dostupu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dlya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informatsiyno-analitychnoyi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pidtrymky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pedahohichnykh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doslidzhen'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/ O.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Spirin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A.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Yatsyshyn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S.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Ivanova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A.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Kil'chenko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L.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Luparenko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//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Informatsiyni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tekhnolohiyi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i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zasoby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navchannya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– 2016. – # 5 (55). – S. 136-174. –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Rezhym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dostupu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zhurn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: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zhttp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://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journal.iitta.gov.ua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index.php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itlt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article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/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view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/1501</w:t>
      </w:r>
    </w:p>
    <w:p w:rsidR="00C944B3" w:rsidRPr="009114D5" w:rsidRDefault="009114D5" w:rsidP="009114D5">
      <w:pPr>
        <w:rPr>
          <w:rFonts w:ascii="Times New Roman" w:hAnsi="Times New Roman"/>
          <w:lang w:val="uk-UA"/>
        </w:rPr>
      </w:pPr>
      <w:r w:rsidRPr="009114D5">
        <w:rPr>
          <w:rFonts w:ascii="Times New Roman" w:hAnsi="Times New Roman"/>
          <w:bCs/>
          <w:sz w:val="28"/>
          <w:szCs w:val="28"/>
          <w:lang w:val="uk-UA"/>
        </w:rPr>
        <w:lastRenderedPageBreak/>
        <w:t>5.</w:t>
      </w:r>
      <w:r w:rsidRPr="009114D5">
        <w:rPr>
          <w:rFonts w:ascii="Times New Roman" w:hAnsi="Times New Roman"/>
          <w:bCs/>
          <w:sz w:val="28"/>
          <w:szCs w:val="28"/>
          <w:lang w:val="uk-UA"/>
        </w:rPr>
        <w:tab/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Spirin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O.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Model'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informatsiyno-analitychnoyi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pidtrymky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pedahohichnykh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doslidzhen'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na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osnovi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elektronnykh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system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vidkrytoho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dostupu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/ O.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Spirin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A.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Yatsyshyn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S.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Ivanova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A.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Kil'chenko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, L.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Luparenko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//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Informatsiyni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tekhnolohiyi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i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zasoby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navchannya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. – 2017. – # 3 (59). – S. 134-154. –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Rezhym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dostupu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do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14D5">
        <w:rPr>
          <w:rFonts w:ascii="Times New Roman" w:hAnsi="Times New Roman"/>
          <w:bCs/>
          <w:sz w:val="28"/>
          <w:szCs w:val="28"/>
          <w:lang w:val="uk-UA"/>
        </w:rPr>
        <w:t>zhurn</w:t>
      </w:r>
      <w:proofErr w:type="spellEnd"/>
      <w:r w:rsidRPr="009114D5">
        <w:rPr>
          <w:rFonts w:ascii="Times New Roman" w:hAnsi="Times New Roman"/>
          <w:bCs/>
          <w:sz w:val="28"/>
          <w:szCs w:val="28"/>
          <w:lang w:val="uk-UA"/>
        </w:rPr>
        <w:t>. : http://journal.iitta.gov.ua/index.php/itlt/article/view/1694</w:t>
      </w:r>
    </w:p>
    <w:sectPr w:rsidR="00C944B3" w:rsidRPr="009114D5" w:rsidSect="00877C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B7"/>
    <w:multiLevelType w:val="hybridMultilevel"/>
    <w:tmpl w:val="A02A0D46"/>
    <w:lvl w:ilvl="0" w:tplc="84040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701"/>
    <w:multiLevelType w:val="hybridMultilevel"/>
    <w:tmpl w:val="E1BA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2652"/>
    <w:multiLevelType w:val="hybridMultilevel"/>
    <w:tmpl w:val="903E1848"/>
    <w:lvl w:ilvl="0" w:tplc="BD72618C">
      <w:start w:val="1"/>
      <w:numFmt w:val="decimal"/>
      <w:lvlText w:val="%1."/>
      <w:lvlJc w:val="left"/>
      <w:pPr>
        <w:tabs>
          <w:tab w:val="num" w:pos="2663"/>
        </w:tabs>
        <w:ind w:left="2663" w:hanging="1245"/>
      </w:p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72"/>
    <w:rsid w:val="00065172"/>
    <w:rsid w:val="000D0F80"/>
    <w:rsid w:val="0010695B"/>
    <w:rsid w:val="001E464B"/>
    <w:rsid w:val="00310993"/>
    <w:rsid w:val="00333840"/>
    <w:rsid w:val="00360AA6"/>
    <w:rsid w:val="006211DA"/>
    <w:rsid w:val="008733ED"/>
    <w:rsid w:val="009114D5"/>
    <w:rsid w:val="00B03450"/>
    <w:rsid w:val="00B74F09"/>
    <w:rsid w:val="00C944B3"/>
    <w:rsid w:val="00DA6A3B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0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4F09"/>
    <w:pPr>
      <w:spacing w:after="0" w:line="360" w:lineRule="auto"/>
      <w:ind w:right="-6"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4F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4">
    <w:name w:val="rvts24"/>
    <w:rsid w:val="00B74F09"/>
  </w:style>
  <w:style w:type="paragraph" w:styleId="a3">
    <w:name w:val="Normal (Web)"/>
    <w:basedOn w:val="a"/>
    <w:uiPriority w:val="99"/>
    <w:semiHidden/>
    <w:unhideWhenUsed/>
    <w:rsid w:val="00C94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4B3"/>
  </w:style>
  <w:style w:type="paragraph" w:styleId="a4">
    <w:name w:val="List Paragraph"/>
    <w:basedOn w:val="a"/>
    <w:uiPriority w:val="34"/>
    <w:qFormat/>
    <w:rsid w:val="00360AA6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DA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B03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0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4F09"/>
    <w:pPr>
      <w:spacing w:after="0" w:line="360" w:lineRule="auto"/>
      <w:ind w:right="-6"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4F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4">
    <w:name w:val="rvts24"/>
    <w:rsid w:val="00B74F09"/>
  </w:style>
  <w:style w:type="paragraph" w:styleId="a3">
    <w:name w:val="Normal (Web)"/>
    <w:basedOn w:val="a"/>
    <w:uiPriority w:val="99"/>
    <w:semiHidden/>
    <w:unhideWhenUsed/>
    <w:rsid w:val="00C94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4B3"/>
  </w:style>
  <w:style w:type="paragraph" w:styleId="a4">
    <w:name w:val="List Paragraph"/>
    <w:basedOn w:val="a"/>
    <w:uiPriority w:val="34"/>
    <w:qFormat/>
    <w:rsid w:val="00360AA6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DA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B03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2638</Words>
  <Characters>1505</Characters>
  <Application>Microsoft Office Word</Application>
  <DocSecurity>0</DocSecurity>
  <Lines>12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2018-06-20T11:58:00Z</dcterms:created>
  <dcterms:modified xsi:type="dcterms:W3CDTF">2018-06-20T12:22:00Z</dcterms:modified>
</cp:coreProperties>
</file>