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840" w:rsidRDefault="00333840" w:rsidP="00333840">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en-US"/>
        </w:rPr>
        <w:t>Sakharova Olena</w:t>
      </w:r>
    </w:p>
    <w:p w:rsidR="00333840" w:rsidRDefault="00333840" w:rsidP="00333840">
      <w:pPr>
        <w:spacing w:after="0" w:line="360" w:lineRule="auto"/>
        <w:ind w:firstLine="709"/>
        <w:jc w:val="center"/>
        <w:rPr>
          <w:rFonts w:ascii="Times New Roman" w:hAnsi="Times New Roman"/>
          <w:b/>
          <w:sz w:val="28"/>
          <w:szCs w:val="28"/>
          <w:lang w:val="en-US"/>
        </w:rPr>
      </w:pPr>
      <w:r>
        <w:rPr>
          <w:rFonts w:ascii="Times New Roman" w:hAnsi="Times New Roman"/>
          <w:b/>
          <w:sz w:val="28"/>
          <w:szCs w:val="28"/>
          <w:lang w:val="en-US"/>
        </w:rPr>
        <w:t>TOYS AS  A  METHOD OF AESTHETIC EDUCATION OF  PRESCHOOL AGE CHILDREN</w:t>
      </w:r>
    </w:p>
    <w:p w:rsidR="00333840" w:rsidRDefault="00333840" w:rsidP="00333840">
      <w:pPr>
        <w:spacing w:after="0" w:line="360" w:lineRule="auto"/>
        <w:ind w:firstLine="709"/>
        <w:jc w:val="center"/>
        <w:rPr>
          <w:rFonts w:ascii="Times New Roman" w:hAnsi="Times New Roman"/>
          <w:sz w:val="28"/>
          <w:szCs w:val="28"/>
          <w:lang w:val="en-US"/>
        </w:rPr>
      </w:pPr>
    </w:p>
    <w:p w:rsidR="00333840" w:rsidRDefault="00333840" w:rsidP="00333840">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Each historical epoch has its own toys, which depend on the development of society, its  spiritual culture, aesthetic preferences.</w:t>
      </w:r>
    </w:p>
    <w:p w:rsidR="00333840" w:rsidRDefault="00333840" w:rsidP="00333840">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Toy at all times is not left unattended scientists, pedagogues, psychologists (V. Abramenkova, O. Batuhtіna, O. Vovchik-Blakitna, O. Smirnova, M. Stel'mahovich, L. Vigotskij, B. Nєmens'kij, E. Fl'orіna, P. Bogatir'ov, S. Novos'olova, V. Propp, І. Makarova, S. Bolhovіtіnova, B. Valuenko, S. Karajchenceva, E. Ogar, D. Popova and others).</w:t>
      </w:r>
    </w:p>
    <w:p w:rsidR="00333840" w:rsidRDefault="00333840" w:rsidP="00333840">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The toys include pedagogical, aesthetic, hygienic and psychological requirements. It should be a model of beauty and contribute to the harmonious, all-round development of the personality.</w:t>
      </w:r>
    </w:p>
    <w:p w:rsidR="00333840" w:rsidRDefault="00333840" w:rsidP="00333840">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Musical toys (bells, musical hammerheads, jingles, beanbags, etc.) contribute to the tasks of aesthetic education: developing musical and auditory presentation, musical memory and rhythm.</w:t>
      </w:r>
    </w:p>
    <w:p w:rsidR="00333840" w:rsidRDefault="00333840" w:rsidP="00333840">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Children receive aesthetic pleasure from listening to music, from singing, musical and rhythmic movements and musical improvisation. Playing children's musical instruments creates children's sense of joy, cheerful mood, emotional comfort, and pleasure from communicating with music.</w:t>
      </w:r>
    </w:p>
    <w:p w:rsidR="00333840" w:rsidRDefault="00333840" w:rsidP="00333840">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The book-toy is effectively influences on the aesthetic development of children of preschool age: toy book, a music toy book, pop-up book, nativity book, lullaby book, carved book, panorama book, openwork book, finger toy book. </w:t>
      </w:r>
    </w:p>
    <w:p w:rsidR="00333840" w:rsidRDefault="00333840" w:rsidP="00333840">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Thus, books, toys create art model which forms the aesthetic representation of the child, artistic thinking, taste for creativity and self-realization. </w:t>
      </w:r>
    </w:p>
    <w:p w:rsidR="00333840" w:rsidRDefault="00333840" w:rsidP="00333840">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Therefore, the toy, acting as an important source and means of aesthetic education of children of preschool age, can be used both in the classroom and in the everyday life of the child, developing it aesthetically, teaching to notice beautiful in the ordinary, familiar.</w:t>
      </w:r>
    </w:p>
    <w:p w:rsidR="00333840" w:rsidRDefault="00333840" w:rsidP="00333840">
      <w:pPr>
        <w:spacing w:after="0" w:line="360" w:lineRule="auto"/>
        <w:ind w:firstLine="709"/>
        <w:jc w:val="center"/>
        <w:rPr>
          <w:rFonts w:ascii="Times New Roman" w:hAnsi="Times New Roman"/>
          <w:sz w:val="28"/>
          <w:szCs w:val="28"/>
          <w:lang w:val="uk-UA"/>
        </w:rPr>
      </w:pPr>
      <w:r>
        <w:rPr>
          <w:rFonts w:ascii="Times New Roman" w:hAnsi="Times New Roman"/>
          <w:sz w:val="28"/>
          <w:szCs w:val="28"/>
          <w:lang w:val="uk-UA"/>
        </w:rPr>
        <w:lastRenderedPageBreak/>
        <w:t>REFERENCES :</w:t>
      </w:r>
    </w:p>
    <w:p w:rsidR="00333840" w:rsidRDefault="00333840" w:rsidP="0033384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 Antonovich Y. A.(1991). Decorative-applied art. Y. A. Antonovich, R. V. Zakharchuk-Chugai, M. E. Stankevich(Ed.). Lviv, Ukraine: Svit,  272. [in Ukrainian].</w:t>
      </w:r>
    </w:p>
    <w:p w:rsidR="00333840" w:rsidRDefault="00333840" w:rsidP="0033384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 Bolkhovitinova C. M. (2000). Composition of editions: Features of designing various types of editions: Textbook. S. M. Bolkhovitinova. (Ed.) - Moscow, Russia: Publishing House, Moscow State University, 81. [in Russian].</w:t>
      </w:r>
    </w:p>
    <w:p w:rsidR="00333840" w:rsidRDefault="00333840" w:rsidP="0033384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3.Virenius O.S. (1890). Significance of toys: about the exhibition of toys in 1890 . Education and training, 7 - 8. 257 - 272. [in Russian].</w:t>
      </w:r>
    </w:p>
    <w:p w:rsidR="00333840" w:rsidRDefault="00333840" w:rsidP="0033384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 Vovchik-Blakitna O. O. (2009). The child's toy and the game - it's a serious matter. O. O. Vovchik-Blakitna (Ed.). Gifted child: Scientific-practical educational-popular magazine, 1, 54-59.[in Ukrainian].</w:t>
      </w:r>
    </w:p>
    <w:p w:rsidR="00333840" w:rsidRDefault="00333840" w:rsidP="0033384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5. E.O. Smirnova, M. Lomonosov (2009). What do our children play? Games and toys in the mirror of psychology, 224. [in Russian].</w:t>
      </w:r>
    </w:p>
    <w:p w:rsidR="00333840" w:rsidRDefault="00333840" w:rsidP="0033384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6. Ogar E.I.(2002) Children's book: problems of publishing preparation. Lviv, Ukraine: AzArt, 160. [in Ukrainian].</w:t>
      </w:r>
    </w:p>
    <w:p w:rsidR="00333840" w:rsidRDefault="00333840" w:rsidP="0033384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7. S. Novoselova, E. Zvorygin, G. Dokutsievskaya, N. Reutskaya (1987). Pedagogical requirements and age-oriented targeting of toys. Methodical recommendations. Rotaprint plot of the Academic Methodical Council under the Academy of Sciences of the USSR,  3. [in Russian].</w:t>
      </w:r>
    </w:p>
    <w:p w:rsidR="00333840" w:rsidRDefault="00333840" w:rsidP="0033384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8. Popova D.M. (2011). Use of new materials in the design of a children's book-toys. Bulletin of the Orenburg State University,  9,  96 - 105. [in Russian].</w:t>
      </w:r>
    </w:p>
    <w:p w:rsidR="00333840" w:rsidRDefault="00333840" w:rsidP="0033384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9. Collection of orders and orders of the Ministry of Education of the Ukrainian SSR (1954). On the tasks of the regional departments of public education in increasing the issue, expanding the range and improving the quality of children's toys and games in the Ukrainian SSR in 1954,  16, 17 [in Ukrainian].</w:t>
      </w:r>
    </w:p>
    <w:p w:rsidR="00333840" w:rsidRDefault="00333840" w:rsidP="0033384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10. E. A. Flerina (Ed.) (1935). List of toys permitted and prohibited by the Toy Committee of the People's Commissariat of the RSFSR. Moscow, Leningrad: KOIZ, ‎1934 - 1935. - Issue. 2, 88. [in Russian].</w:t>
      </w:r>
    </w:p>
    <w:p w:rsidR="00C944B3" w:rsidRPr="00333840" w:rsidRDefault="00C944B3" w:rsidP="00333840">
      <w:bookmarkStart w:id="0" w:name="_GoBack"/>
      <w:bookmarkEnd w:id="0"/>
    </w:p>
    <w:sectPr w:rsidR="00C944B3" w:rsidRPr="00333840" w:rsidSect="00877C8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B0701"/>
    <w:multiLevelType w:val="hybridMultilevel"/>
    <w:tmpl w:val="E1BA2A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9222652"/>
    <w:multiLevelType w:val="hybridMultilevel"/>
    <w:tmpl w:val="903E1848"/>
    <w:lvl w:ilvl="0" w:tplc="BD72618C">
      <w:start w:val="1"/>
      <w:numFmt w:val="decimal"/>
      <w:lvlText w:val="%1."/>
      <w:lvlJc w:val="left"/>
      <w:pPr>
        <w:tabs>
          <w:tab w:val="num" w:pos="2663"/>
        </w:tabs>
        <w:ind w:left="2663" w:hanging="1245"/>
      </w:pPr>
    </w:lvl>
    <w:lvl w:ilvl="1" w:tplc="04220019">
      <w:start w:val="1"/>
      <w:numFmt w:val="lowerLetter"/>
      <w:lvlText w:val="%2."/>
      <w:lvlJc w:val="left"/>
      <w:pPr>
        <w:tabs>
          <w:tab w:val="num" w:pos="2149"/>
        </w:tabs>
        <w:ind w:left="2149" w:hanging="360"/>
      </w:pPr>
    </w:lvl>
    <w:lvl w:ilvl="2" w:tplc="0422001B">
      <w:start w:val="1"/>
      <w:numFmt w:val="lowerRoman"/>
      <w:lvlText w:val="%3."/>
      <w:lvlJc w:val="right"/>
      <w:pPr>
        <w:tabs>
          <w:tab w:val="num" w:pos="2869"/>
        </w:tabs>
        <w:ind w:left="2869" w:hanging="180"/>
      </w:pPr>
    </w:lvl>
    <w:lvl w:ilvl="3" w:tplc="0422000F">
      <w:start w:val="1"/>
      <w:numFmt w:val="decimal"/>
      <w:lvlText w:val="%4."/>
      <w:lvlJc w:val="left"/>
      <w:pPr>
        <w:tabs>
          <w:tab w:val="num" w:pos="3589"/>
        </w:tabs>
        <w:ind w:left="3589" w:hanging="360"/>
      </w:pPr>
    </w:lvl>
    <w:lvl w:ilvl="4" w:tplc="04220019">
      <w:start w:val="1"/>
      <w:numFmt w:val="lowerLetter"/>
      <w:lvlText w:val="%5."/>
      <w:lvlJc w:val="left"/>
      <w:pPr>
        <w:tabs>
          <w:tab w:val="num" w:pos="4309"/>
        </w:tabs>
        <w:ind w:left="4309" w:hanging="360"/>
      </w:pPr>
    </w:lvl>
    <w:lvl w:ilvl="5" w:tplc="0422001B">
      <w:start w:val="1"/>
      <w:numFmt w:val="lowerRoman"/>
      <w:lvlText w:val="%6."/>
      <w:lvlJc w:val="right"/>
      <w:pPr>
        <w:tabs>
          <w:tab w:val="num" w:pos="5029"/>
        </w:tabs>
        <w:ind w:left="5029" w:hanging="180"/>
      </w:pPr>
    </w:lvl>
    <w:lvl w:ilvl="6" w:tplc="0422000F">
      <w:start w:val="1"/>
      <w:numFmt w:val="decimal"/>
      <w:lvlText w:val="%7."/>
      <w:lvlJc w:val="left"/>
      <w:pPr>
        <w:tabs>
          <w:tab w:val="num" w:pos="5749"/>
        </w:tabs>
        <w:ind w:left="5749" w:hanging="360"/>
      </w:pPr>
    </w:lvl>
    <w:lvl w:ilvl="7" w:tplc="04220019">
      <w:start w:val="1"/>
      <w:numFmt w:val="lowerLetter"/>
      <w:lvlText w:val="%8."/>
      <w:lvlJc w:val="left"/>
      <w:pPr>
        <w:tabs>
          <w:tab w:val="num" w:pos="6469"/>
        </w:tabs>
        <w:ind w:left="6469" w:hanging="360"/>
      </w:pPr>
    </w:lvl>
    <w:lvl w:ilvl="8" w:tplc="0422001B">
      <w:start w:val="1"/>
      <w:numFmt w:val="lowerRoman"/>
      <w:lvlText w:val="%9."/>
      <w:lvlJc w:val="right"/>
      <w:pPr>
        <w:tabs>
          <w:tab w:val="num" w:pos="7189"/>
        </w:tabs>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72"/>
    <w:rsid w:val="00065172"/>
    <w:rsid w:val="000D0F80"/>
    <w:rsid w:val="0010695B"/>
    <w:rsid w:val="001E464B"/>
    <w:rsid w:val="00310993"/>
    <w:rsid w:val="00333840"/>
    <w:rsid w:val="00360AA6"/>
    <w:rsid w:val="006211DA"/>
    <w:rsid w:val="008733ED"/>
    <w:rsid w:val="00B74F09"/>
    <w:rsid w:val="00C944B3"/>
    <w:rsid w:val="00DA6A3B"/>
    <w:rsid w:val="00FC1B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09"/>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B74F09"/>
    <w:pPr>
      <w:spacing w:after="0" w:line="360" w:lineRule="auto"/>
      <w:ind w:right="-6" w:firstLine="709"/>
      <w:jc w:val="both"/>
    </w:pPr>
    <w:rPr>
      <w:rFonts w:ascii="Times New Roman" w:hAnsi="Times New Roman"/>
      <w:sz w:val="28"/>
      <w:szCs w:val="24"/>
      <w:lang w:val="uk-UA"/>
    </w:rPr>
  </w:style>
  <w:style w:type="character" w:customStyle="1" w:styleId="20">
    <w:name w:val="Основной текст 2 Знак"/>
    <w:basedOn w:val="a0"/>
    <w:link w:val="2"/>
    <w:uiPriority w:val="99"/>
    <w:semiHidden/>
    <w:rsid w:val="00B74F09"/>
    <w:rPr>
      <w:rFonts w:ascii="Times New Roman" w:eastAsia="Times New Roman" w:hAnsi="Times New Roman" w:cs="Times New Roman"/>
      <w:sz w:val="28"/>
      <w:szCs w:val="24"/>
      <w:lang w:eastAsia="ru-RU"/>
    </w:rPr>
  </w:style>
  <w:style w:type="character" w:customStyle="1" w:styleId="rvts24">
    <w:name w:val="rvts24"/>
    <w:rsid w:val="00B74F09"/>
  </w:style>
  <w:style w:type="paragraph" w:styleId="a3">
    <w:name w:val="Normal (Web)"/>
    <w:basedOn w:val="a"/>
    <w:uiPriority w:val="99"/>
    <w:semiHidden/>
    <w:unhideWhenUsed/>
    <w:rsid w:val="00C944B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944B3"/>
  </w:style>
  <w:style w:type="paragraph" w:styleId="a4">
    <w:name w:val="List Paragraph"/>
    <w:basedOn w:val="a"/>
    <w:uiPriority w:val="34"/>
    <w:qFormat/>
    <w:rsid w:val="00360AA6"/>
    <w:pPr>
      <w:spacing w:after="160" w:line="254" w:lineRule="auto"/>
      <w:ind w:left="720"/>
      <w:contextualSpacing/>
    </w:pPr>
    <w:rPr>
      <w:rFonts w:eastAsia="Calibri"/>
      <w:lang w:eastAsia="en-US"/>
    </w:rPr>
  </w:style>
  <w:style w:type="paragraph" w:customStyle="1" w:styleId="Default">
    <w:name w:val="Default"/>
    <w:uiPriority w:val="99"/>
    <w:rsid w:val="00DA6A3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09"/>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B74F09"/>
    <w:pPr>
      <w:spacing w:after="0" w:line="360" w:lineRule="auto"/>
      <w:ind w:right="-6" w:firstLine="709"/>
      <w:jc w:val="both"/>
    </w:pPr>
    <w:rPr>
      <w:rFonts w:ascii="Times New Roman" w:hAnsi="Times New Roman"/>
      <w:sz w:val="28"/>
      <w:szCs w:val="24"/>
      <w:lang w:val="uk-UA"/>
    </w:rPr>
  </w:style>
  <w:style w:type="character" w:customStyle="1" w:styleId="20">
    <w:name w:val="Основной текст 2 Знак"/>
    <w:basedOn w:val="a0"/>
    <w:link w:val="2"/>
    <w:uiPriority w:val="99"/>
    <w:semiHidden/>
    <w:rsid w:val="00B74F09"/>
    <w:rPr>
      <w:rFonts w:ascii="Times New Roman" w:eastAsia="Times New Roman" w:hAnsi="Times New Roman" w:cs="Times New Roman"/>
      <w:sz w:val="28"/>
      <w:szCs w:val="24"/>
      <w:lang w:eastAsia="ru-RU"/>
    </w:rPr>
  </w:style>
  <w:style w:type="character" w:customStyle="1" w:styleId="rvts24">
    <w:name w:val="rvts24"/>
    <w:rsid w:val="00B74F09"/>
  </w:style>
  <w:style w:type="paragraph" w:styleId="a3">
    <w:name w:val="Normal (Web)"/>
    <w:basedOn w:val="a"/>
    <w:uiPriority w:val="99"/>
    <w:semiHidden/>
    <w:unhideWhenUsed/>
    <w:rsid w:val="00C944B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944B3"/>
  </w:style>
  <w:style w:type="paragraph" w:styleId="a4">
    <w:name w:val="List Paragraph"/>
    <w:basedOn w:val="a"/>
    <w:uiPriority w:val="34"/>
    <w:qFormat/>
    <w:rsid w:val="00360AA6"/>
    <w:pPr>
      <w:spacing w:after="160" w:line="254" w:lineRule="auto"/>
      <w:ind w:left="720"/>
      <w:contextualSpacing/>
    </w:pPr>
    <w:rPr>
      <w:rFonts w:eastAsia="Calibri"/>
      <w:lang w:eastAsia="en-US"/>
    </w:rPr>
  </w:style>
  <w:style w:type="paragraph" w:customStyle="1" w:styleId="Default">
    <w:name w:val="Default"/>
    <w:uiPriority w:val="99"/>
    <w:rsid w:val="00DA6A3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062225">
      <w:bodyDiv w:val="1"/>
      <w:marLeft w:val="0"/>
      <w:marRight w:val="0"/>
      <w:marTop w:val="0"/>
      <w:marBottom w:val="0"/>
      <w:divBdr>
        <w:top w:val="none" w:sz="0" w:space="0" w:color="auto"/>
        <w:left w:val="none" w:sz="0" w:space="0" w:color="auto"/>
        <w:bottom w:val="none" w:sz="0" w:space="0" w:color="auto"/>
        <w:right w:val="none" w:sz="0" w:space="0" w:color="auto"/>
      </w:divBdr>
    </w:div>
    <w:div w:id="1409614122">
      <w:bodyDiv w:val="1"/>
      <w:marLeft w:val="0"/>
      <w:marRight w:val="0"/>
      <w:marTop w:val="0"/>
      <w:marBottom w:val="0"/>
      <w:divBdr>
        <w:top w:val="none" w:sz="0" w:space="0" w:color="auto"/>
        <w:left w:val="none" w:sz="0" w:space="0" w:color="auto"/>
        <w:bottom w:val="none" w:sz="0" w:space="0" w:color="auto"/>
        <w:right w:val="none" w:sz="0" w:space="0" w:color="auto"/>
      </w:divBdr>
    </w:div>
    <w:div w:id="1499347759">
      <w:bodyDiv w:val="1"/>
      <w:marLeft w:val="0"/>
      <w:marRight w:val="0"/>
      <w:marTop w:val="0"/>
      <w:marBottom w:val="0"/>
      <w:divBdr>
        <w:top w:val="none" w:sz="0" w:space="0" w:color="auto"/>
        <w:left w:val="none" w:sz="0" w:space="0" w:color="auto"/>
        <w:bottom w:val="none" w:sz="0" w:space="0" w:color="auto"/>
        <w:right w:val="none" w:sz="0" w:space="0" w:color="auto"/>
      </w:divBdr>
    </w:div>
    <w:div w:id="1594514482">
      <w:bodyDiv w:val="1"/>
      <w:marLeft w:val="0"/>
      <w:marRight w:val="0"/>
      <w:marTop w:val="0"/>
      <w:marBottom w:val="0"/>
      <w:divBdr>
        <w:top w:val="none" w:sz="0" w:space="0" w:color="auto"/>
        <w:left w:val="none" w:sz="0" w:space="0" w:color="auto"/>
        <w:bottom w:val="none" w:sz="0" w:space="0" w:color="auto"/>
        <w:right w:val="none" w:sz="0" w:space="0" w:color="auto"/>
      </w:divBdr>
    </w:div>
    <w:div w:id="1602761247">
      <w:bodyDiv w:val="1"/>
      <w:marLeft w:val="0"/>
      <w:marRight w:val="0"/>
      <w:marTop w:val="0"/>
      <w:marBottom w:val="0"/>
      <w:divBdr>
        <w:top w:val="none" w:sz="0" w:space="0" w:color="auto"/>
        <w:left w:val="none" w:sz="0" w:space="0" w:color="auto"/>
        <w:bottom w:val="none" w:sz="0" w:space="0" w:color="auto"/>
        <w:right w:val="none" w:sz="0" w:space="0" w:color="auto"/>
      </w:divBdr>
    </w:div>
    <w:div w:id="1641032800">
      <w:bodyDiv w:val="1"/>
      <w:marLeft w:val="0"/>
      <w:marRight w:val="0"/>
      <w:marTop w:val="0"/>
      <w:marBottom w:val="0"/>
      <w:divBdr>
        <w:top w:val="none" w:sz="0" w:space="0" w:color="auto"/>
        <w:left w:val="none" w:sz="0" w:space="0" w:color="auto"/>
        <w:bottom w:val="none" w:sz="0" w:space="0" w:color="auto"/>
        <w:right w:val="none" w:sz="0" w:space="0" w:color="auto"/>
      </w:divBdr>
    </w:div>
    <w:div w:id="174328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2419</Words>
  <Characters>1379</Characters>
  <Application>Microsoft Office Word</Application>
  <DocSecurity>0</DocSecurity>
  <Lines>11</Lines>
  <Paragraphs>7</Paragraphs>
  <ScaleCrop>false</ScaleCrop>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2018-06-20T11:58:00Z</dcterms:created>
  <dcterms:modified xsi:type="dcterms:W3CDTF">2018-06-20T12:17:00Z</dcterms:modified>
</cp:coreProperties>
</file>