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D92" w:rsidRDefault="00E00D92" w:rsidP="00E00D92">
      <w:pPr>
        <w:spacing w:before="240"/>
        <w:jc w:val="center"/>
        <w:rPr>
          <w:rFonts w:ascii="Arial" w:hAnsi="Arial" w:cs="Arial"/>
          <w:b/>
          <w:sz w:val="26"/>
          <w:szCs w:val="26"/>
        </w:rPr>
      </w:pPr>
      <w:r>
        <w:rPr>
          <w:rFonts w:ascii="Arial" w:hAnsi="Arial" w:cs="Arial"/>
          <w:b/>
          <w:sz w:val="26"/>
          <w:szCs w:val="26"/>
        </w:rPr>
        <w:t>Dmytro Antoniuk</w:t>
      </w:r>
    </w:p>
    <w:p w:rsidR="00E00D92" w:rsidRDefault="00E00D92" w:rsidP="00E00D92">
      <w:pPr>
        <w:spacing w:before="240"/>
        <w:jc w:val="center"/>
        <w:rPr>
          <w:rFonts w:ascii="Arial" w:hAnsi="Arial" w:cs="Arial"/>
          <w:b/>
          <w:sz w:val="26"/>
          <w:szCs w:val="26"/>
        </w:rPr>
      </w:pPr>
      <w:r>
        <w:rPr>
          <w:rFonts w:ascii="Arial" w:hAnsi="Arial" w:cs="Arial"/>
          <w:b/>
          <w:sz w:val="26"/>
          <w:szCs w:val="26"/>
        </w:rPr>
        <w:t>THE MODEL OF ECONOMIC COMPETENCE FORMATION OF TECHNICAL SPECIALTIES STUDENTS WITH THE USE OF BUSINESS SIMULATIONS</w:t>
      </w:r>
    </w:p>
    <w:p w:rsidR="00E00D92" w:rsidRDefault="00E00D92" w:rsidP="00E00D92">
      <w:pPr>
        <w:pStyle w:val="a5"/>
        <w:shd w:val="clear" w:color="auto" w:fill="FFFFFF"/>
        <w:spacing w:before="0" w:beforeAutospacing="0" w:after="0" w:afterAutospacing="0"/>
        <w:ind w:firstLine="720"/>
        <w:jc w:val="both"/>
        <w:rPr>
          <w:rFonts w:ascii="Arial" w:hAnsi="Arial" w:cs="Arial"/>
          <w:sz w:val="26"/>
          <w:szCs w:val="26"/>
        </w:rPr>
      </w:pPr>
      <w:r>
        <w:rPr>
          <w:rFonts w:ascii="Arial" w:hAnsi="Arial" w:cs="Arial"/>
          <w:sz w:val="26"/>
          <w:szCs w:val="26"/>
        </w:rPr>
        <w:t>The need for a technical specialist to have economic competence formed is dictated by the requirements to develop and implement economically proved technical solutions. The present state of the scientific research in the areas of economic competence formation and business-simulations usage has been investigated. Definition of the “model” term has been analyzed and generalized.</w:t>
      </w:r>
    </w:p>
    <w:p w:rsidR="00E00D92" w:rsidRDefault="00E00D92" w:rsidP="00E00D92">
      <w:pPr>
        <w:pStyle w:val="a5"/>
        <w:shd w:val="clear" w:color="auto" w:fill="FFFFFF"/>
        <w:spacing w:before="0" w:beforeAutospacing="0" w:after="0" w:afterAutospacing="0"/>
        <w:ind w:firstLine="720"/>
        <w:jc w:val="both"/>
        <w:rPr>
          <w:rFonts w:ascii="Arial" w:hAnsi="Arial" w:cs="Arial"/>
          <w:sz w:val="26"/>
          <w:szCs w:val="26"/>
        </w:rPr>
      </w:pPr>
      <w:r>
        <w:rPr>
          <w:rFonts w:ascii="Arial" w:hAnsi="Arial" w:cs="Arial"/>
          <w:sz w:val="26"/>
          <w:szCs w:val="26"/>
        </w:rPr>
        <w:t>The article presents the model of economic competence formation of technical specialties students with the use of business simulations. The main blocks (such as motivational, organizational, content and methodical, results-diagnostic) and their components are described. Computer – based forms of educational process organization are defined as prevailing for the purpose of reaching our goals. Decreased attention to the economic area of study by the students of technical specialties has been observed and stated as the situation which needs to be improved and might be improved with the course based on the model developed within this research work.</w:t>
      </w:r>
      <w:r>
        <w:rPr>
          <w:rFonts w:ascii="Arial" w:hAnsi="Arial" w:cs="Arial"/>
          <w:sz w:val="26"/>
          <w:szCs w:val="26"/>
          <w:lang w:val="uk-UA"/>
        </w:rPr>
        <w:t xml:space="preserve"> </w:t>
      </w:r>
      <w:r>
        <w:rPr>
          <w:rFonts w:ascii="Arial" w:hAnsi="Arial" w:cs="Arial"/>
          <w:sz w:val="26"/>
          <w:szCs w:val="26"/>
        </w:rPr>
        <w:t>The description of the business simulations, their usage as a tool to improve the efficiency of the educational process with the elaborated model and the advantages business simulations provide for the formation of economic competence of technical specialties students are also explained in the article. </w:t>
      </w:r>
    </w:p>
    <w:p w:rsidR="00E00D92" w:rsidRDefault="00E00D92" w:rsidP="00E00D92">
      <w:pPr>
        <w:pStyle w:val="a5"/>
        <w:shd w:val="clear" w:color="auto" w:fill="FFFFFF"/>
        <w:spacing w:before="0" w:beforeAutospacing="0" w:after="0" w:afterAutospacing="0"/>
        <w:ind w:firstLine="720"/>
        <w:jc w:val="both"/>
        <w:rPr>
          <w:rFonts w:ascii="Arial" w:hAnsi="Arial" w:cs="Arial"/>
          <w:sz w:val="26"/>
          <w:szCs w:val="26"/>
        </w:rPr>
      </w:pPr>
      <w:r>
        <w:rPr>
          <w:rFonts w:ascii="Arial" w:hAnsi="Arial" w:cs="Arial"/>
          <w:sz w:val="26"/>
          <w:szCs w:val="26"/>
        </w:rPr>
        <w:t>The outcomes of the presented model usage are the following: the rise of the level of economic competence of technical specialty students, development of the cognitive interest to the adjacent knowledge areas and specialties, growing knowledge about the future professional area and also better preparation for the economic component of the everyday life. The model considers (можно includes) the main aspects of the professional development and peculiarities of the educational process of such specialists in the area of economic knowledge. Economic competence formation of technical specialists is a dynamical process, its content and quality level depend on a lot of factors, such as personality development level, the usage of the modern pedagogical, informational and social technologies and socio – economical processes in the family, in the educational area as well as in the society as such. </w:t>
      </w:r>
    </w:p>
    <w:p w:rsidR="00E00D92" w:rsidRDefault="00E00D92" w:rsidP="00E00D92">
      <w:pPr>
        <w:pStyle w:val="a5"/>
        <w:shd w:val="clear" w:color="auto" w:fill="FFFFFF"/>
        <w:spacing w:before="0" w:beforeAutospacing="0" w:after="0" w:afterAutospacing="0"/>
        <w:ind w:firstLine="720"/>
        <w:jc w:val="both"/>
        <w:rPr>
          <w:rFonts w:ascii="Arial" w:hAnsi="Arial" w:cs="Arial"/>
          <w:sz w:val="26"/>
          <w:szCs w:val="26"/>
        </w:rPr>
      </w:pPr>
      <w:r>
        <w:rPr>
          <w:rFonts w:ascii="Arial" w:hAnsi="Arial" w:cs="Arial"/>
          <w:sz w:val="26"/>
          <w:szCs w:val="26"/>
        </w:rPr>
        <w:t>The future research is planned and will be focused on the creation of the methodology of economic competence formation of technical specialties students with the creative use of business simulations. The efficiency check of such a methodology is also intended.</w:t>
      </w:r>
    </w:p>
    <w:p w:rsidR="00E00D92" w:rsidRDefault="00E00D92" w:rsidP="00E00D92">
      <w:pPr>
        <w:spacing w:before="240"/>
        <w:jc w:val="center"/>
        <w:rPr>
          <w:rFonts w:ascii="Arial" w:hAnsi="Arial" w:cs="Arial"/>
          <w:b/>
          <w:sz w:val="26"/>
          <w:szCs w:val="26"/>
        </w:rPr>
      </w:pPr>
      <w:r>
        <w:rPr>
          <w:rFonts w:ascii="Arial" w:hAnsi="Arial" w:cs="Arial"/>
          <w:b/>
          <w:sz w:val="26"/>
          <w:szCs w:val="26"/>
          <w:lang w:val="uk-UA"/>
        </w:rPr>
        <w:t>References</w:t>
      </w:r>
    </w:p>
    <w:p w:rsidR="00E00D92" w:rsidRDefault="00E00D92" w:rsidP="00E00D92">
      <w:pPr>
        <w:tabs>
          <w:tab w:val="left" w:pos="1260"/>
        </w:tabs>
        <w:ind w:firstLine="720"/>
        <w:rPr>
          <w:rFonts w:ascii="Arial" w:hAnsi="Arial" w:cs="Arial"/>
          <w:sz w:val="26"/>
          <w:szCs w:val="26"/>
        </w:rPr>
      </w:pPr>
      <w:r>
        <w:rPr>
          <w:rFonts w:ascii="Arial" w:hAnsi="Arial" w:cs="Arial"/>
          <w:sz w:val="26"/>
          <w:szCs w:val="26"/>
        </w:rPr>
        <w:t>1.</w:t>
      </w:r>
      <w:r>
        <w:rPr>
          <w:rFonts w:ascii="Arial" w:hAnsi="Arial" w:cs="Arial"/>
          <w:sz w:val="26"/>
          <w:szCs w:val="26"/>
        </w:rPr>
        <w:tab/>
        <w:t xml:space="preserve">Bazhyn Y.Y. Yssledovanye system upravlenyia / Y. Y. Bazhyn // Kompakt-uchebnyk.– Kharkov: Konsum, 2004. – 336 s. </w:t>
      </w:r>
    </w:p>
    <w:p w:rsidR="00E00D92" w:rsidRDefault="00E00D92" w:rsidP="00E00D92">
      <w:pPr>
        <w:tabs>
          <w:tab w:val="left" w:pos="1260"/>
        </w:tabs>
        <w:ind w:firstLine="720"/>
        <w:rPr>
          <w:rFonts w:ascii="Arial" w:hAnsi="Arial" w:cs="Arial"/>
          <w:sz w:val="26"/>
          <w:szCs w:val="26"/>
        </w:rPr>
      </w:pPr>
      <w:r>
        <w:rPr>
          <w:rFonts w:ascii="Arial" w:hAnsi="Arial" w:cs="Arial"/>
          <w:sz w:val="26"/>
          <w:szCs w:val="26"/>
        </w:rPr>
        <w:t>2.</w:t>
      </w:r>
      <w:r>
        <w:rPr>
          <w:rFonts w:ascii="Arial" w:hAnsi="Arial" w:cs="Arial"/>
          <w:sz w:val="26"/>
          <w:szCs w:val="26"/>
        </w:rPr>
        <w:tab/>
        <w:t>Bykov V. Yu. Modeli orhanizatsiinykh system vidkrytoi osvity : monohrafiia / V. Yu. Bykov. – K. : Atika, 2009. – 323 s.</w:t>
      </w:r>
    </w:p>
    <w:p w:rsidR="00E00D92" w:rsidRDefault="00E00D92" w:rsidP="00E00D92">
      <w:pPr>
        <w:tabs>
          <w:tab w:val="left" w:pos="1260"/>
        </w:tabs>
        <w:ind w:firstLine="720"/>
        <w:rPr>
          <w:rFonts w:ascii="Arial" w:hAnsi="Arial" w:cs="Arial"/>
          <w:sz w:val="26"/>
          <w:szCs w:val="26"/>
        </w:rPr>
      </w:pPr>
      <w:r>
        <w:rPr>
          <w:rFonts w:ascii="Arial" w:hAnsi="Arial" w:cs="Arial"/>
          <w:sz w:val="26"/>
          <w:szCs w:val="26"/>
        </w:rPr>
        <w:t>3.</w:t>
      </w:r>
      <w:r>
        <w:rPr>
          <w:rFonts w:ascii="Arial" w:hAnsi="Arial" w:cs="Arial"/>
          <w:sz w:val="26"/>
          <w:szCs w:val="26"/>
        </w:rPr>
        <w:tab/>
        <w:t xml:space="preserve">Dydaktyka srednei shkolы / Pod red. M. N. Skatkyna. - M., 1982. </w:t>
      </w:r>
    </w:p>
    <w:p w:rsidR="00E00D92" w:rsidRDefault="00E00D92" w:rsidP="00E00D92">
      <w:pPr>
        <w:tabs>
          <w:tab w:val="left" w:pos="1260"/>
        </w:tabs>
        <w:ind w:firstLine="720"/>
        <w:rPr>
          <w:rFonts w:ascii="Arial" w:hAnsi="Arial" w:cs="Arial"/>
          <w:sz w:val="26"/>
          <w:szCs w:val="26"/>
        </w:rPr>
      </w:pPr>
      <w:r>
        <w:rPr>
          <w:rFonts w:ascii="Arial" w:hAnsi="Arial" w:cs="Arial"/>
          <w:sz w:val="26"/>
          <w:szCs w:val="26"/>
        </w:rPr>
        <w:t>4.</w:t>
      </w:r>
      <w:r>
        <w:rPr>
          <w:rFonts w:ascii="Arial" w:hAnsi="Arial" w:cs="Arial"/>
          <w:sz w:val="26"/>
          <w:szCs w:val="26"/>
        </w:rPr>
        <w:tab/>
        <w:t xml:space="preserve">Kurliand Z. N. Profesiina ustalenist vchytelia – osnova yoho pedahohichnoi maisternosti / Z. N. Kurliand. – Odesa, 1995. – 160 s. </w:t>
      </w:r>
    </w:p>
    <w:p w:rsidR="00E00D92" w:rsidRDefault="00E00D92" w:rsidP="00E00D92">
      <w:pPr>
        <w:tabs>
          <w:tab w:val="left" w:pos="1260"/>
        </w:tabs>
        <w:ind w:firstLine="720"/>
        <w:rPr>
          <w:rFonts w:ascii="Arial" w:hAnsi="Arial" w:cs="Arial"/>
          <w:sz w:val="26"/>
          <w:szCs w:val="26"/>
        </w:rPr>
      </w:pPr>
      <w:r>
        <w:rPr>
          <w:rFonts w:ascii="Arial" w:hAnsi="Arial" w:cs="Arial"/>
          <w:sz w:val="26"/>
          <w:szCs w:val="26"/>
        </w:rPr>
        <w:t>5.</w:t>
      </w:r>
      <w:r>
        <w:rPr>
          <w:rFonts w:ascii="Arial" w:hAnsi="Arial" w:cs="Arial"/>
          <w:sz w:val="26"/>
          <w:szCs w:val="26"/>
        </w:rPr>
        <w:tab/>
        <w:t>Novykov A.M. Metodolohyia / Novykov A.M., Novykov D. A. – M. : SYNTEH. – 663 s.</w:t>
      </w:r>
    </w:p>
    <w:p w:rsidR="00E00D92" w:rsidRDefault="00E00D92" w:rsidP="00E00D92">
      <w:pPr>
        <w:tabs>
          <w:tab w:val="left" w:pos="1260"/>
        </w:tabs>
        <w:ind w:firstLine="720"/>
        <w:rPr>
          <w:rFonts w:ascii="Arial" w:hAnsi="Arial" w:cs="Arial"/>
          <w:sz w:val="26"/>
          <w:szCs w:val="26"/>
        </w:rPr>
      </w:pPr>
      <w:r>
        <w:rPr>
          <w:rFonts w:ascii="Arial" w:hAnsi="Arial" w:cs="Arial"/>
          <w:sz w:val="26"/>
          <w:szCs w:val="26"/>
        </w:rPr>
        <w:t>6.</w:t>
      </w:r>
      <w:r>
        <w:rPr>
          <w:rFonts w:ascii="Arial" w:hAnsi="Arial" w:cs="Arial"/>
          <w:sz w:val="26"/>
          <w:szCs w:val="26"/>
        </w:rPr>
        <w:tab/>
        <w:t>Podlasыi Y. P. Pedahohyka. - M., 1999.</w:t>
      </w:r>
    </w:p>
    <w:p w:rsidR="00E00D92" w:rsidRDefault="00E00D92" w:rsidP="00E00D92">
      <w:pPr>
        <w:tabs>
          <w:tab w:val="left" w:pos="1260"/>
        </w:tabs>
        <w:ind w:firstLine="720"/>
        <w:rPr>
          <w:rFonts w:ascii="Arial" w:hAnsi="Arial" w:cs="Arial"/>
          <w:sz w:val="26"/>
          <w:szCs w:val="26"/>
        </w:rPr>
      </w:pPr>
      <w:r>
        <w:rPr>
          <w:rFonts w:ascii="Arial" w:hAnsi="Arial" w:cs="Arial"/>
          <w:sz w:val="26"/>
          <w:szCs w:val="26"/>
        </w:rPr>
        <w:lastRenderedPageBreak/>
        <w:t>7.</w:t>
      </w:r>
      <w:r>
        <w:rPr>
          <w:rFonts w:ascii="Arial" w:hAnsi="Arial" w:cs="Arial"/>
          <w:sz w:val="26"/>
          <w:szCs w:val="26"/>
        </w:rPr>
        <w:tab/>
        <w:t>Symuliatsiia — Vikipediia [Elektronnyi resurs] – Rezhym   dostupu: URL : https://uk.wikipedia.org/wiki/Symuliatsiia  – Zaholovok z ekranu.</w:t>
      </w:r>
    </w:p>
    <w:p w:rsidR="00E00D92" w:rsidRDefault="00E00D92" w:rsidP="00E00D92">
      <w:pPr>
        <w:tabs>
          <w:tab w:val="left" w:pos="1260"/>
        </w:tabs>
        <w:ind w:firstLine="720"/>
        <w:rPr>
          <w:rFonts w:ascii="Arial" w:hAnsi="Arial" w:cs="Arial"/>
          <w:sz w:val="26"/>
          <w:szCs w:val="26"/>
        </w:rPr>
      </w:pPr>
      <w:r>
        <w:rPr>
          <w:rFonts w:ascii="Arial" w:hAnsi="Arial" w:cs="Arial"/>
          <w:sz w:val="26"/>
          <w:szCs w:val="26"/>
        </w:rPr>
        <w:t>8.</w:t>
      </w:r>
      <w:r>
        <w:rPr>
          <w:rFonts w:ascii="Arial" w:hAnsi="Arial" w:cs="Arial"/>
          <w:sz w:val="26"/>
          <w:szCs w:val="26"/>
        </w:rPr>
        <w:tab/>
        <w:t>Tryus Yu. V. Kompiuterno-oriientovani metodychni systemy navchannia matematychnykh dystsyplin u vyshchykh navchalnykh zakladakh[Tekst]: dys... dokt.ped. nauk: 13.00.02 / Yu.V. Tryus; Cherkaskyi derzh. un-t im.B. Khmelnytskoho. – Cherkasy, 2005. – 649 s.</w:t>
      </w:r>
    </w:p>
    <w:p w:rsidR="00E00D92" w:rsidRDefault="00E00D92" w:rsidP="00E00D92">
      <w:pPr>
        <w:tabs>
          <w:tab w:val="left" w:pos="1260"/>
        </w:tabs>
        <w:ind w:firstLine="720"/>
        <w:rPr>
          <w:rFonts w:ascii="Arial" w:hAnsi="Arial" w:cs="Arial"/>
          <w:sz w:val="26"/>
          <w:szCs w:val="26"/>
        </w:rPr>
      </w:pPr>
      <w:r>
        <w:rPr>
          <w:rFonts w:ascii="Arial" w:hAnsi="Arial" w:cs="Arial"/>
          <w:sz w:val="26"/>
          <w:szCs w:val="26"/>
        </w:rPr>
        <w:t>9.</w:t>
      </w:r>
      <w:r>
        <w:rPr>
          <w:rFonts w:ascii="Arial" w:hAnsi="Arial" w:cs="Arial"/>
          <w:sz w:val="26"/>
          <w:szCs w:val="26"/>
        </w:rPr>
        <w:tab/>
        <w:t xml:space="preserve"> Ursul A.D. Ynformatyzatsyia obshchestva y perekhod k ustoichyvomu razvytyiu tsyvylyzatsyy [Tekst] / A.D. Ursul // Vestnyk ROYVT. – 1993. – № 1-3. – S. 35-45.</w:t>
      </w:r>
    </w:p>
    <w:p w:rsidR="00E00D92" w:rsidRDefault="00E00D92" w:rsidP="00E00D92">
      <w:pPr>
        <w:tabs>
          <w:tab w:val="left" w:pos="900"/>
        </w:tabs>
        <w:ind w:firstLine="720"/>
        <w:rPr>
          <w:rFonts w:ascii="Arial" w:hAnsi="Arial" w:cs="Arial"/>
          <w:sz w:val="26"/>
          <w:szCs w:val="26"/>
        </w:rPr>
      </w:pPr>
      <w:r>
        <w:rPr>
          <w:rFonts w:ascii="Arial" w:hAnsi="Arial" w:cs="Arial"/>
          <w:sz w:val="26"/>
          <w:szCs w:val="26"/>
        </w:rPr>
        <w:t>10.</w:t>
      </w:r>
      <w:r>
        <w:rPr>
          <w:rFonts w:ascii="Arial" w:hAnsi="Arial" w:cs="Arial"/>
          <w:sz w:val="26"/>
          <w:szCs w:val="26"/>
        </w:rPr>
        <w:tab/>
        <w:t xml:space="preserve"> Khoziaynov H. Y. Osnovы, sushchnost y urovny pedahohycheskoho masterstva. – V kn.: Nechaev N. N. Modelyrovanye y tvorchestvo / H. Y. Khoziaynov. – M.: Znanye, 1987. – S. 34–71.</w:t>
      </w:r>
    </w:p>
    <w:p w:rsidR="00310993" w:rsidRPr="00E00D92" w:rsidRDefault="00310993" w:rsidP="00E00D92">
      <w:bookmarkStart w:id="0" w:name="_GoBack"/>
      <w:bookmarkEnd w:id="0"/>
    </w:p>
    <w:sectPr w:rsidR="00310993" w:rsidRPr="00E00D9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259D6"/>
    <w:multiLevelType w:val="hybridMultilevel"/>
    <w:tmpl w:val="761A3694"/>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533"/>
    <w:rsid w:val="000370D0"/>
    <w:rsid w:val="0010695B"/>
    <w:rsid w:val="001E464B"/>
    <w:rsid w:val="00310993"/>
    <w:rsid w:val="009C532D"/>
    <w:rsid w:val="00E00D92"/>
    <w:rsid w:val="00E5153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0D0"/>
    <w:pPr>
      <w:spacing w:after="0" w:line="240" w:lineRule="auto"/>
    </w:pPr>
    <w:rPr>
      <w:rFonts w:ascii="Times New Roman" w:eastAsia="Times New Roman" w:hAnsi="Times New Roman" w:cs="Times New Roman"/>
      <w:sz w:val="24"/>
      <w:szCs w:val="24"/>
      <w:lang w:val="en-C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0370D0"/>
    <w:pPr>
      <w:spacing w:after="120"/>
      <w:ind w:left="283"/>
    </w:pPr>
    <w:rPr>
      <w:lang w:val="ru-RU"/>
    </w:rPr>
  </w:style>
  <w:style w:type="character" w:customStyle="1" w:styleId="a4">
    <w:name w:val="Основной текст с отступом Знак"/>
    <w:basedOn w:val="a0"/>
    <w:link w:val="a3"/>
    <w:semiHidden/>
    <w:rsid w:val="000370D0"/>
    <w:rPr>
      <w:rFonts w:ascii="Times New Roman" w:eastAsia="Times New Roman" w:hAnsi="Times New Roman" w:cs="Times New Roman"/>
      <w:sz w:val="24"/>
      <w:szCs w:val="24"/>
      <w:lang w:val="ru-RU" w:eastAsia="ru-RU"/>
    </w:rPr>
  </w:style>
  <w:style w:type="character" w:customStyle="1" w:styleId="rvts24">
    <w:name w:val="rvts24"/>
    <w:rsid w:val="000370D0"/>
  </w:style>
  <w:style w:type="paragraph" w:styleId="a5">
    <w:name w:val="Normal (Web)"/>
    <w:basedOn w:val="a"/>
    <w:uiPriority w:val="99"/>
    <w:semiHidden/>
    <w:unhideWhenUsed/>
    <w:rsid w:val="009C532D"/>
    <w:pPr>
      <w:spacing w:before="100" w:beforeAutospacing="1" w:after="100" w:afterAutospacing="1"/>
    </w:pPr>
    <w:rPr>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0D0"/>
    <w:pPr>
      <w:spacing w:after="0" w:line="240" w:lineRule="auto"/>
    </w:pPr>
    <w:rPr>
      <w:rFonts w:ascii="Times New Roman" w:eastAsia="Times New Roman" w:hAnsi="Times New Roman" w:cs="Times New Roman"/>
      <w:sz w:val="24"/>
      <w:szCs w:val="24"/>
      <w:lang w:val="en-C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0370D0"/>
    <w:pPr>
      <w:spacing w:after="120"/>
      <w:ind w:left="283"/>
    </w:pPr>
    <w:rPr>
      <w:lang w:val="ru-RU"/>
    </w:rPr>
  </w:style>
  <w:style w:type="character" w:customStyle="1" w:styleId="a4">
    <w:name w:val="Основной текст с отступом Знак"/>
    <w:basedOn w:val="a0"/>
    <w:link w:val="a3"/>
    <w:semiHidden/>
    <w:rsid w:val="000370D0"/>
    <w:rPr>
      <w:rFonts w:ascii="Times New Roman" w:eastAsia="Times New Roman" w:hAnsi="Times New Roman" w:cs="Times New Roman"/>
      <w:sz w:val="24"/>
      <w:szCs w:val="24"/>
      <w:lang w:val="ru-RU" w:eastAsia="ru-RU"/>
    </w:rPr>
  </w:style>
  <w:style w:type="character" w:customStyle="1" w:styleId="rvts24">
    <w:name w:val="rvts24"/>
    <w:rsid w:val="000370D0"/>
  </w:style>
  <w:style w:type="paragraph" w:styleId="a5">
    <w:name w:val="Normal (Web)"/>
    <w:basedOn w:val="a"/>
    <w:uiPriority w:val="99"/>
    <w:semiHidden/>
    <w:unhideWhenUsed/>
    <w:rsid w:val="009C532D"/>
    <w:pPr>
      <w:spacing w:before="100" w:beforeAutospacing="1" w:after="100" w:afterAutospacing="1"/>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544200">
      <w:bodyDiv w:val="1"/>
      <w:marLeft w:val="0"/>
      <w:marRight w:val="0"/>
      <w:marTop w:val="0"/>
      <w:marBottom w:val="0"/>
      <w:divBdr>
        <w:top w:val="none" w:sz="0" w:space="0" w:color="auto"/>
        <w:left w:val="none" w:sz="0" w:space="0" w:color="auto"/>
        <w:bottom w:val="none" w:sz="0" w:space="0" w:color="auto"/>
        <w:right w:val="none" w:sz="0" w:space="0" w:color="auto"/>
      </w:divBdr>
    </w:div>
    <w:div w:id="1554074580">
      <w:bodyDiv w:val="1"/>
      <w:marLeft w:val="0"/>
      <w:marRight w:val="0"/>
      <w:marTop w:val="0"/>
      <w:marBottom w:val="0"/>
      <w:divBdr>
        <w:top w:val="none" w:sz="0" w:space="0" w:color="auto"/>
        <w:left w:val="none" w:sz="0" w:space="0" w:color="auto"/>
        <w:bottom w:val="none" w:sz="0" w:space="0" w:color="auto"/>
        <w:right w:val="none" w:sz="0" w:space="0" w:color="auto"/>
      </w:divBdr>
    </w:div>
    <w:div w:id="195955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2517</Words>
  <Characters>1435</Characters>
  <Application>Microsoft Office Word</Application>
  <DocSecurity>0</DocSecurity>
  <Lines>11</Lines>
  <Paragraphs>7</Paragraphs>
  <ScaleCrop>false</ScaleCrop>
  <Company/>
  <LinksUpToDate>false</LinksUpToDate>
  <CharactersWithSpaces>3945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2018-06-20T11:28:00Z</dcterms:created>
  <dcterms:modified xsi:type="dcterms:W3CDTF">2018-06-20T11:29:00Z</dcterms:modified>
</cp:coreProperties>
</file>